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viabilita' e infortunistica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Regolamentazione traffico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Autorizzazioni al transito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Accertamento violazioni stradali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Pattugliamento stradale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Controllo segnaletica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Ritiro documenti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Sorveglianza degli attraversamenti pedonali davanti alle scuole elementari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Ordinanze regolamentazione circolazione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Nulla osta per trasporti eccezionali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passo carrabile permanente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passo carrabile temporaneo per cantiere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Rilascio contrassegno invalidi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Rimborso somme versate erroneamente per violazioni amministrative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Acquisizione/Messa in funzione apparecchiature per controllo dei veicoli non assicurati, non revisionati, rubati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Sequestro di veicoli coinvolti nel sinistro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Rilievo incidente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Accertamento violazioni stradali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Convenzione per la fornitura, mediante supporto informatico, di dati contenuti nel sistema informativo del Pubblico registro Automobilistico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Rilievo incidente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Convenzione per adesione all'utenza per il servizio di consultazione del C.E.D. della Direzione Generale della Motorizzazione Civile- Ministero delle Infrastrutture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Annullamento d'ufficio di verbali per violazioni a norme di legge nazionale o regionale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Avvisi di accertamento violazione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Contrassegno per veicoli esclusivamente elettrici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Programmazione/implementazione piano per la sicurezza stradale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Rilascio fogli di via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viabilita' e infortunistica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